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0B" w:rsidRPr="0058482D" w:rsidRDefault="00285F2C" w:rsidP="0058482D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sz w:val="28"/>
          <w:szCs w:val="28"/>
        </w:rPr>
      </w:pPr>
      <w:r w:rsidRPr="0058482D">
        <w:rPr>
          <w:rFonts w:ascii="Calibri" w:hAnsi="Calibri" w:cs="Calibri"/>
          <w:b/>
          <w:sz w:val="32"/>
          <w:szCs w:val="28"/>
          <w:u w:val="single"/>
        </w:rPr>
        <w:t>ePrescribing for Controlled Substances</w:t>
      </w:r>
      <w:r w:rsidR="00934A34">
        <w:rPr>
          <w:rFonts w:ascii="Calibri" w:hAnsi="Calibri" w:cs="Calibri"/>
          <w:b/>
          <w:sz w:val="32"/>
          <w:szCs w:val="28"/>
          <w:u w:val="single"/>
        </w:rPr>
        <w:t xml:space="preserve"> (EPCS)</w:t>
      </w:r>
      <w:r w:rsidR="00AD145F">
        <w:rPr>
          <w:rFonts w:ascii="Calibri" w:hAnsi="Calibri" w:cs="Calibri"/>
          <w:b/>
          <w:sz w:val="32"/>
          <w:szCs w:val="28"/>
          <w:u w:val="single"/>
        </w:rPr>
        <w:t xml:space="preserve"> at OptumRx Home Delivery Pharmacy</w:t>
      </w:r>
      <w:r w:rsidRPr="0058482D">
        <w:rPr>
          <w:rFonts w:ascii="Calibri" w:hAnsi="Calibri" w:cs="Calibri"/>
          <w:b/>
          <w:sz w:val="32"/>
          <w:szCs w:val="28"/>
          <w:u w:val="single"/>
        </w:rPr>
        <w:t>:</w:t>
      </w:r>
      <w:r w:rsidR="00934A34">
        <w:rPr>
          <w:rFonts w:ascii="Calibri" w:hAnsi="Calibri" w:cs="Calibri"/>
          <w:b/>
          <w:sz w:val="32"/>
          <w:szCs w:val="28"/>
          <w:u w:val="single"/>
        </w:rPr>
        <w:br/>
      </w:r>
      <w:r w:rsidRPr="0058482D">
        <w:rPr>
          <w:rFonts w:ascii="Calibri" w:hAnsi="Calibri" w:cs="Calibri"/>
          <w:b/>
          <w:sz w:val="32"/>
          <w:szCs w:val="28"/>
          <w:u w:val="single"/>
        </w:rPr>
        <w:t xml:space="preserve"> </w:t>
      </w:r>
    </w:p>
    <w:p w:rsidR="0061280B" w:rsidRDefault="00622BD2" w:rsidP="0061280B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4A00B3">
        <w:rPr>
          <w:rFonts w:ascii="Calibri" w:hAnsi="Calibri" w:cs="Calibri"/>
          <w:b/>
          <w:sz w:val="28"/>
          <w:szCs w:val="28"/>
        </w:rPr>
        <w:t xml:space="preserve">Updated </w:t>
      </w:r>
      <w:r w:rsidR="000B39A9" w:rsidRPr="004A00B3">
        <w:rPr>
          <w:rFonts w:ascii="Calibri" w:hAnsi="Calibri" w:cs="Calibri"/>
          <w:b/>
          <w:sz w:val="28"/>
          <w:szCs w:val="28"/>
        </w:rPr>
        <w:t xml:space="preserve"> </w:t>
      </w:r>
      <w:r w:rsidR="00F66FA0">
        <w:rPr>
          <w:rFonts w:ascii="Calibri" w:hAnsi="Calibri" w:cs="Calibri"/>
          <w:b/>
          <w:sz w:val="28"/>
          <w:szCs w:val="28"/>
        </w:rPr>
        <w:t>1/30/202</w:t>
      </w:r>
      <w:r w:rsidR="000B39A9" w:rsidRPr="004A00B3">
        <w:rPr>
          <w:rFonts w:ascii="Calibri" w:hAnsi="Calibri" w:cs="Calibri"/>
          <w:b/>
          <w:sz w:val="28"/>
          <w:szCs w:val="28"/>
        </w:rPr>
        <w:t>0:</w:t>
      </w:r>
      <w:r w:rsidR="000B39A9">
        <w:rPr>
          <w:rFonts w:ascii="Calibri" w:hAnsi="Calibri" w:cs="Calibri"/>
          <w:sz w:val="28"/>
          <w:szCs w:val="28"/>
        </w:rPr>
        <w:t xml:space="preserve"> Includes i</w:t>
      </w:r>
      <w:r>
        <w:rPr>
          <w:rFonts w:ascii="Calibri" w:hAnsi="Calibri" w:cs="Calibri"/>
          <w:sz w:val="28"/>
          <w:szCs w:val="28"/>
        </w:rPr>
        <w:t>nformation on grace period and exceptions</w:t>
      </w:r>
      <w:r w:rsidR="0061280B">
        <w:rPr>
          <w:rFonts w:ascii="Calibri" w:hAnsi="Calibri" w:cs="Calibri"/>
          <w:sz w:val="28"/>
          <w:szCs w:val="28"/>
        </w:rPr>
        <w:t> </w:t>
      </w:r>
    </w:p>
    <w:p w:rsidR="000B39A9" w:rsidRDefault="000B39A9" w:rsidP="0061280B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4C4C1C" w:rsidRDefault="004C4C1C" w:rsidP="004C4C1C">
      <w:pPr>
        <w:pStyle w:val="ColorBullet"/>
        <w:ind w:left="0" w:firstLine="0"/>
        <w:rPr>
          <w:b/>
          <w:bCs/>
          <w:color w:val="ED7D31"/>
          <w:sz w:val="24"/>
          <w:szCs w:val="24"/>
        </w:rPr>
      </w:pPr>
      <w:r>
        <w:rPr>
          <w:b/>
          <w:bCs/>
          <w:color w:val="ED7D31"/>
          <w:sz w:val="24"/>
          <w:szCs w:val="24"/>
        </w:rPr>
        <w:t>EPCS Overview</w:t>
      </w:r>
    </w:p>
    <w:p w:rsidR="004C4C1C" w:rsidRDefault="004C4C1C" w:rsidP="0061280B">
      <w:pPr>
        <w:pStyle w:val="Body"/>
        <w:rPr>
          <w:rFonts w:ascii="Calibri" w:hAnsi="Calibri" w:cs="Calibri"/>
        </w:rPr>
      </w:pPr>
    </w:p>
    <w:p w:rsidR="0061280B" w:rsidRDefault="0061280B" w:rsidP="0061280B">
      <w:pPr>
        <w:pStyle w:val="Body"/>
        <w:rPr>
          <w:b/>
          <w:bCs/>
          <w:sz w:val="22"/>
          <w:szCs w:val="22"/>
        </w:rPr>
      </w:pPr>
      <w:r>
        <w:rPr>
          <w:rFonts w:ascii="Calibri" w:hAnsi="Calibri" w:cs="Calibri"/>
        </w:rPr>
        <w:t> </w:t>
      </w:r>
      <w:r>
        <w:rPr>
          <w:b/>
          <w:bCs/>
          <w:sz w:val="22"/>
          <w:szCs w:val="22"/>
        </w:rPr>
        <w:t>What is EPCS?</w:t>
      </w:r>
    </w:p>
    <w:p w:rsidR="00285F2C" w:rsidRPr="00004022" w:rsidRDefault="00285F2C" w:rsidP="00004022">
      <w:pPr>
        <w:pStyle w:val="Bod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Electronic Prescriptions for Controlled Substances</w:t>
      </w:r>
      <w:r w:rsidR="00004022">
        <w:rPr>
          <w:sz w:val="22"/>
          <w:szCs w:val="22"/>
        </w:rPr>
        <w:t xml:space="preserve"> (EPCS), is </w:t>
      </w:r>
      <w:r w:rsidR="000A1D26">
        <w:rPr>
          <w:sz w:val="22"/>
          <w:szCs w:val="22"/>
        </w:rPr>
        <w:t>the emerging</w:t>
      </w:r>
      <w:r w:rsidR="000A1D26" w:rsidRPr="00004022">
        <w:rPr>
          <w:sz w:val="22"/>
          <w:szCs w:val="22"/>
        </w:rPr>
        <w:t xml:space="preserve"> </w:t>
      </w:r>
      <w:r w:rsidR="006D243E" w:rsidRPr="00004022">
        <w:rPr>
          <w:sz w:val="22"/>
          <w:szCs w:val="22"/>
        </w:rPr>
        <w:t xml:space="preserve">industry </w:t>
      </w:r>
      <w:r w:rsidR="006D243E" w:rsidRPr="00515D40">
        <w:rPr>
          <w:b/>
          <w:sz w:val="22"/>
          <w:szCs w:val="22"/>
        </w:rPr>
        <w:t>standard to ensure safe and proper prescribing of narcotics, opioids and other</w:t>
      </w:r>
      <w:r w:rsidR="006D243E" w:rsidRPr="00004022">
        <w:rPr>
          <w:sz w:val="22"/>
          <w:szCs w:val="22"/>
        </w:rPr>
        <w:t xml:space="preserve"> controlled substances. Physicians must be EPCS enabled in order </w:t>
      </w:r>
      <w:r w:rsidR="00A62CCA" w:rsidRPr="00004022">
        <w:rPr>
          <w:sz w:val="22"/>
          <w:szCs w:val="22"/>
        </w:rPr>
        <w:t xml:space="preserve">to </w:t>
      </w:r>
      <w:r w:rsidR="002C366E">
        <w:rPr>
          <w:sz w:val="22"/>
          <w:szCs w:val="22"/>
        </w:rPr>
        <w:t>e</w:t>
      </w:r>
      <w:r w:rsidR="00332484">
        <w:rPr>
          <w:sz w:val="22"/>
          <w:szCs w:val="22"/>
        </w:rPr>
        <w:t>-</w:t>
      </w:r>
      <w:r w:rsidR="002C366E">
        <w:rPr>
          <w:sz w:val="22"/>
          <w:szCs w:val="22"/>
        </w:rPr>
        <w:t xml:space="preserve">prescribe </w:t>
      </w:r>
      <w:r w:rsidR="00A62CCA" w:rsidRPr="00004022">
        <w:rPr>
          <w:sz w:val="22"/>
          <w:szCs w:val="22"/>
        </w:rPr>
        <w:t>one of these medications</w:t>
      </w:r>
      <w:r w:rsidR="002C366E">
        <w:rPr>
          <w:sz w:val="22"/>
          <w:szCs w:val="22"/>
        </w:rPr>
        <w:t>.</w:t>
      </w:r>
    </w:p>
    <w:p w:rsidR="0061280B" w:rsidRDefault="0061280B" w:rsidP="0061280B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:rsidR="00285F2C" w:rsidRDefault="00285F2C" w:rsidP="00285F2C">
      <w:pPr>
        <w:pStyle w:val="Body"/>
        <w:rPr>
          <w:b/>
          <w:bCs/>
          <w:sz w:val="22"/>
          <w:szCs w:val="22"/>
        </w:rPr>
      </w:pPr>
      <w:r>
        <w:rPr>
          <w:rFonts w:ascii="Calibri" w:hAnsi="Calibri" w:cs="Calibri"/>
        </w:rPr>
        <w:t> 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  <w:r w:rsidR="006D243E">
        <w:rPr>
          <w:b/>
          <w:bCs/>
          <w:sz w:val="22"/>
          <w:szCs w:val="22"/>
        </w:rPr>
        <w:t>How does EPCS address prescription theft &amp;</w:t>
      </w:r>
      <w:r>
        <w:rPr>
          <w:b/>
          <w:bCs/>
          <w:sz w:val="22"/>
          <w:szCs w:val="22"/>
        </w:rPr>
        <w:t xml:space="preserve"> fraud?</w:t>
      </w:r>
    </w:p>
    <w:p w:rsidR="006D243E" w:rsidRPr="00A62CCA" w:rsidRDefault="006D243E" w:rsidP="00A62CCA">
      <w:pPr>
        <w:pStyle w:val="Bod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US Drug Enforcement Administration (DEA) and state Boards of Pharmacy have worked together to create programs and regulations to deter abuse/misuse</w:t>
      </w:r>
      <w:r w:rsidR="002C366E">
        <w:rPr>
          <w:sz w:val="22"/>
          <w:szCs w:val="22"/>
        </w:rPr>
        <w:t>.</w:t>
      </w:r>
    </w:p>
    <w:p w:rsidR="00285F2C" w:rsidRPr="00285F2C" w:rsidRDefault="00285F2C" w:rsidP="00285F2C">
      <w:pPr>
        <w:pStyle w:val="Bod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EPCS technology requires a </w:t>
      </w:r>
      <w:r w:rsidR="00A5297C">
        <w:rPr>
          <w:sz w:val="22"/>
          <w:szCs w:val="22"/>
        </w:rPr>
        <w:t>2</w:t>
      </w:r>
      <w:r>
        <w:rPr>
          <w:sz w:val="22"/>
          <w:szCs w:val="22"/>
        </w:rPr>
        <w:t xml:space="preserve">-factor authentication of prescribers within the </w:t>
      </w:r>
      <w:r w:rsidR="00C62C25">
        <w:rPr>
          <w:sz w:val="22"/>
          <w:szCs w:val="22"/>
        </w:rPr>
        <w:t>Electronic Health Record/Electronic Medical Record (</w:t>
      </w:r>
      <w:r>
        <w:rPr>
          <w:sz w:val="22"/>
          <w:szCs w:val="22"/>
        </w:rPr>
        <w:t>EHR/EMR</w:t>
      </w:r>
      <w:r w:rsidR="00C62C25">
        <w:rPr>
          <w:sz w:val="22"/>
          <w:szCs w:val="22"/>
        </w:rPr>
        <w:t>)</w:t>
      </w:r>
      <w:r>
        <w:rPr>
          <w:sz w:val="22"/>
          <w:szCs w:val="22"/>
        </w:rPr>
        <w:t>, thereby improving security standards, improving prescript</w:t>
      </w:r>
      <w:r w:rsidR="00A62CCA">
        <w:rPr>
          <w:sz w:val="22"/>
          <w:szCs w:val="22"/>
        </w:rPr>
        <w:t>ion safety, and reducing errors</w:t>
      </w:r>
      <w:r w:rsidR="002C366E">
        <w:rPr>
          <w:sz w:val="22"/>
          <w:szCs w:val="22"/>
        </w:rPr>
        <w:t>.</w:t>
      </w:r>
    </w:p>
    <w:p w:rsidR="00004022" w:rsidRPr="00004022" w:rsidRDefault="00004022" w:rsidP="0061280B">
      <w:pPr>
        <w:pStyle w:val="Body"/>
        <w:rPr>
          <w:b/>
          <w:bCs/>
          <w:iCs/>
          <w:sz w:val="22"/>
          <w:szCs w:val="22"/>
        </w:rPr>
      </w:pPr>
    </w:p>
    <w:p w:rsidR="00C040C8" w:rsidRPr="00511919" w:rsidRDefault="00C040C8" w:rsidP="00C040C8">
      <w:pPr>
        <w:pStyle w:val="ColorBullet"/>
        <w:ind w:left="0" w:firstLine="0"/>
        <w:rPr>
          <w:b/>
          <w:bCs/>
          <w:color w:val="ED7D31"/>
          <w:sz w:val="24"/>
          <w:szCs w:val="24"/>
        </w:rPr>
      </w:pPr>
      <w:r>
        <w:rPr>
          <w:b/>
          <w:bCs/>
          <w:color w:val="ED7D31"/>
          <w:sz w:val="24"/>
          <w:szCs w:val="24"/>
        </w:rPr>
        <w:t>OptumRx and EPCS</w:t>
      </w:r>
    </w:p>
    <w:p w:rsidR="00C040C8" w:rsidRDefault="00C040C8" w:rsidP="00C040C8">
      <w:pPr>
        <w:pStyle w:val="Body"/>
      </w:pPr>
    </w:p>
    <w:p w:rsidR="00C040C8" w:rsidRDefault="00C040C8" w:rsidP="00C040C8">
      <w:pPr>
        <w:pStyle w:val="Heading2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What are the new OptumRx home delivery pharmacy requirements for EPCS?</w:t>
      </w:r>
    </w:p>
    <w:p w:rsidR="00C040C8" w:rsidRPr="00735477" w:rsidRDefault="00C040C8" w:rsidP="00C040C8">
      <w:pPr>
        <w:pStyle w:val="Heading2"/>
        <w:numPr>
          <w:ilvl w:val="0"/>
          <w:numId w:val="27"/>
        </w:numPr>
        <w:rPr>
          <w:rFonts w:eastAsia="Times New Roman"/>
          <w:sz w:val="22"/>
          <w:szCs w:val="22"/>
        </w:rPr>
      </w:pPr>
      <w:r>
        <w:rPr>
          <w:rFonts w:eastAsia="Times New Roman"/>
          <w:b w:val="0"/>
          <w:sz w:val="22"/>
          <w:szCs w:val="22"/>
        </w:rPr>
        <w:t xml:space="preserve">Effective January 1, 2020, OptumRx home delivery pharmacy will begin a </w:t>
      </w:r>
      <w:r w:rsidRPr="00275B18">
        <w:rPr>
          <w:rFonts w:eastAsia="Times New Roman"/>
          <w:b w:val="0"/>
          <w:sz w:val="22"/>
          <w:szCs w:val="22"/>
        </w:rPr>
        <w:t>phased approach to requiring all prescriptions for controlled substances to be prescribed via EPCS.</w:t>
      </w:r>
    </w:p>
    <w:p w:rsidR="00B53EE5" w:rsidRDefault="004A00B3" w:rsidP="00C040C8">
      <w:pPr>
        <w:pStyle w:val="Heading2"/>
        <w:numPr>
          <w:ilvl w:val="0"/>
          <w:numId w:val="27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</w:t>
      </w:r>
      <w:r w:rsidR="00735477" w:rsidRPr="00B53EE5">
        <w:rPr>
          <w:rFonts w:eastAsia="Times New Roman"/>
          <w:sz w:val="22"/>
          <w:szCs w:val="22"/>
        </w:rPr>
        <w:t xml:space="preserve"> </w:t>
      </w:r>
      <w:r w:rsidR="00735477" w:rsidRPr="009F55EB">
        <w:rPr>
          <w:rFonts w:eastAsia="Times New Roman"/>
          <w:sz w:val="22"/>
          <w:szCs w:val="22"/>
        </w:rPr>
        <w:t>grace period</w:t>
      </w:r>
      <w:r w:rsidR="00735477" w:rsidRPr="00B53EE5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is </w:t>
      </w:r>
      <w:r w:rsidR="00735477" w:rsidRPr="00B53EE5">
        <w:rPr>
          <w:rFonts w:eastAsia="Times New Roman"/>
          <w:sz w:val="22"/>
          <w:szCs w:val="22"/>
        </w:rPr>
        <w:t xml:space="preserve">in place from January 1, 2020 to February 29, 2020 in which prescriptions will be </w:t>
      </w:r>
      <w:r w:rsidR="009F55EB">
        <w:rPr>
          <w:rFonts w:eastAsia="Times New Roman"/>
          <w:sz w:val="22"/>
          <w:szCs w:val="22"/>
        </w:rPr>
        <w:t>filled</w:t>
      </w:r>
      <w:r w:rsidR="00735477" w:rsidRPr="00B53EE5">
        <w:rPr>
          <w:rFonts w:eastAsia="Times New Roman"/>
          <w:sz w:val="22"/>
          <w:szCs w:val="22"/>
        </w:rPr>
        <w:t xml:space="preserve"> regardless of how they are </w:t>
      </w:r>
      <w:r w:rsidR="009F55EB">
        <w:rPr>
          <w:rFonts w:eastAsia="Times New Roman"/>
          <w:sz w:val="22"/>
          <w:szCs w:val="22"/>
        </w:rPr>
        <w:t>submitted</w:t>
      </w:r>
      <w:r>
        <w:rPr>
          <w:rFonts w:eastAsia="Times New Roman"/>
          <w:sz w:val="22"/>
          <w:szCs w:val="22"/>
        </w:rPr>
        <w:t xml:space="preserve"> (hard copy, fax or phone)</w:t>
      </w:r>
      <w:r w:rsidR="00735477" w:rsidRPr="00B53EE5">
        <w:rPr>
          <w:rFonts w:eastAsia="Times New Roman"/>
          <w:sz w:val="22"/>
          <w:szCs w:val="22"/>
        </w:rPr>
        <w:t xml:space="preserve">.  </w:t>
      </w:r>
    </w:p>
    <w:p w:rsidR="00735477" w:rsidRPr="00B53EE5" w:rsidRDefault="00735477" w:rsidP="00B53EE5">
      <w:pPr>
        <w:pStyle w:val="Heading2"/>
        <w:numPr>
          <w:ilvl w:val="1"/>
          <w:numId w:val="27"/>
        </w:numPr>
        <w:rPr>
          <w:rFonts w:eastAsia="Times New Roman"/>
          <w:sz w:val="22"/>
          <w:szCs w:val="22"/>
        </w:rPr>
      </w:pPr>
      <w:r w:rsidRPr="00B53EE5">
        <w:rPr>
          <w:rFonts w:eastAsia="Times New Roman"/>
          <w:sz w:val="22"/>
          <w:szCs w:val="22"/>
        </w:rPr>
        <w:t>You will receive a notification when the prescription has been filled and ask that you align to prescribing via EPCS by March 1, 2020.</w:t>
      </w:r>
    </w:p>
    <w:p w:rsidR="00735477" w:rsidRPr="00D775E5" w:rsidRDefault="00735477" w:rsidP="00735477">
      <w:pPr>
        <w:pStyle w:val="Heading2"/>
        <w:ind w:left="720"/>
        <w:rPr>
          <w:rFonts w:eastAsia="Times New Roman"/>
          <w:sz w:val="22"/>
          <w:szCs w:val="22"/>
        </w:rPr>
      </w:pPr>
    </w:p>
    <w:p w:rsidR="00B53EE5" w:rsidRDefault="00B53EE5" w:rsidP="00B53EE5">
      <w:pPr>
        <w:pStyle w:val="ListParagraph"/>
        <w:rPr>
          <w:rFonts w:ascii="Arial" w:eastAsia="Times New Roman" w:hAnsi="Arial" w:cs="Arial"/>
          <w:b/>
        </w:rPr>
      </w:pPr>
    </w:p>
    <w:p w:rsidR="00B53EE5" w:rsidRDefault="00B53EE5" w:rsidP="00B53EE5">
      <w:pPr>
        <w:pStyle w:val="ListParagraph"/>
        <w:rPr>
          <w:rFonts w:ascii="Arial" w:eastAsia="Times New Roman" w:hAnsi="Arial" w:cs="Arial"/>
          <w:b/>
        </w:rPr>
      </w:pPr>
    </w:p>
    <w:p w:rsidR="00B53EE5" w:rsidRDefault="00B53EE5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br w:type="page"/>
      </w:r>
    </w:p>
    <w:p w:rsidR="00B53EE5" w:rsidRDefault="00B53EE5" w:rsidP="00B53EE5">
      <w:pPr>
        <w:pStyle w:val="ListParagraph"/>
        <w:rPr>
          <w:rFonts w:ascii="Arial" w:eastAsia="Times New Roman" w:hAnsi="Arial" w:cs="Arial"/>
          <w:b/>
        </w:rPr>
      </w:pPr>
    </w:p>
    <w:p w:rsidR="00B53EE5" w:rsidRDefault="00B53EE5" w:rsidP="00B53EE5">
      <w:pPr>
        <w:pStyle w:val="ListParagraph"/>
        <w:rPr>
          <w:rFonts w:ascii="Arial" w:eastAsia="Times New Roman" w:hAnsi="Arial" w:cs="Arial"/>
          <w:b/>
        </w:rPr>
      </w:pPr>
    </w:p>
    <w:p w:rsidR="00735477" w:rsidRPr="00B53EE5" w:rsidRDefault="00C040C8" w:rsidP="00B53EE5">
      <w:pPr>
        <w:pStyle w:val="ListParagraph"/>
        <w:rPr>
          <w:sz w:val="28"/>
          <w:u w:val="single"/>
        </w:rPr>
      </w:pPr>
      <w:r w:rsidRPr="00B53EE5">
        <w:rPr>
          <w:rFonts w:ascii="Arial" w:eastAsia="Times New Roman" w:hAnsi="Arial" w:cs="Arial"/>
          <w:b/>
          <w:sz w:val="28"/>
          <w:u w:val="single"/>
        </w:rPr>
        <w:t>E</w:t>
      </w:r>
      <w:r w:rsidR="00EF7BD8">
        <w:rPr>
          <w:rFonts w:ascii="Arial" w:eastAsia="Times New Roman" w:hAnsi="Arial" w:cs="Arial"/>
          <w:b/>
          <w:sz w:val="28"/>
          <w:u w:val="single"/>
        </w:rPr>
        <w:t>xem</w:t>
      </w:r>
      <w:r w:rsidRPr="00B53EE5">
        <w:rPr>
          <w:rFonts w:ascii="Arial" w:eastAsia="Times New Roman" w:hAnsi="Arial" w:cs="Arial"/>
          <w:b/>
          <w:sz w:val="28"/>
          <w:u w:val="single"/>
        </w:rPr>
        <w:t xml:space="preserve">ptions </w:t>
      </w:r>
      <w:r w:rsidR="00735477" w:rsidRPr="00B53EE5">
        <w:rPr>
          <w:rFonts w:ascii="Arial" w:eastAsia="Times New Roman" w:hAnsi="Arial" w:cs="Arial"/>
          <w:b/>
          <w:sz w:val="28"/>
          <w:u w:val="single"/>
        </w:rPr>
        <w:t>do</w:t>
      </w:r>
      <w:r w:rsidRPr="00B53EE5">
        <w:rPr>
          <w:rFonts w:ascii="Arial" w:eastAsia="Times New Roman" w:hAnsi="Arial" w:cs="Arial"/>
          <w:b/>
          <w:sz w:val="28"/>
          <w:u w:val="single"/>
        </w:rPr>
        <w:t xml:space="preserve"> apply</w:t>
      </w:r>
      <w:r w:rsidR="00B73B1C">
        <w:rPr>
          <w:rFonts w:ascii="Arial" w:eastAsia="Times New Roman" w:hAnsi="Arial" w:cs="Arial"/>
          <w:b/>
          <w:sz w:val="28"/>
          <w:u w:val="single"/>
        </w:rPr>
        <w:t>.</w:t>
      </w:r>
      <w:r w:rsidR="00735477" w:rsidRPr="00B53EE5">
        <w:rPr>
          <w:rFonts w:ascii="Arial" w:eastAsia="Times New Roman" w:hAnsi="Arial" w:cs="Arial"/>
          <w:b/>
          <w:sz w:val="28"/>
          <w:u w:val="single"/>
        </w:rPr>
        <w:t xml:space="preserve"> </w:t>
      </w:r>
      <w:r w:rsidR="00B73B1C">
        <w:rPr>
          <w:rFonts w:ascii="Arial" w:eastAsia="Times New Roman" w:hAnsi="Arial" w:cs="Arial"/>
          <w:b/>
          <w:sz w:val="28"/>
          <w:u w:val="single"/>
        </w:rPr>
        <w:t>P</w:t>
      </w:r>
      <w:r w:rsidR="00735477" w:rsidRPr="00B53EE5">
        <w:rPr>
          <w:rFonts w:ascii="Arial" w:eastAsia="Times New Roman" w:hAnsi="Arial" w:cs="Arial"/>
          <w:b/>
          <w:sz w:val="28"/>
          <w:u w:val="single"/>
        </w:rPr>
        <w:t>lease see table below for details</w:t>
      </w:r>
      <w:r w:rsidR="00B73B1C">
        <w:rPr>
          <w:rFonts w:ascii="Arial" w:eastAsia="Times New Roman" w:hAnsi="Arial" w:cs="Arial"/>
          <w:b/>
          <w:sz w:val="28"/>
          <w:u w:val="single"/>
        </w:rPr>
        <w:t>:</w:t>
      </w:r>
      <w:bookmarkStart w:id="0" w:name="_GoBack"/>
      <w:bookmarkEnd w:id="0"/>
    </w:p>
    <w:p w:rsidR="00735477" w:rsidRDefault="00564E43" w:rsidP="00B53EE5">
      <w:pPr>
        <w:jc w:val="center"/>
      </w:pPr>
      <w:r>
        <w:rPr>
          <w:noProof/>
        </w:rPr>
        <w:drawing>
          <wp:inline distT="0" distB="0" distL="0" distR="0" wp14:anchorId="45911979" wp14:editId="6A8B1C8F">
            <wp:extent cx="5486400" cy="3318803"/>
            <wp:effectExtent l="0" t="0" r="0" b="0"/>
            <wp:docPr id="2" name="Picture 2" descr="cid:image002.png@01D5D764.A9F07F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D5D764.A9F07F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1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E43" w:rsidRDefault="00564E43" w:rsidP="00735477">
      <w:pPr>
        <w:rPr>
          <w:color w:val="808080" w:themeColor="background1" w:themeShade="80"/>
        </w:rPr>
      </w:pPr>
    </w:p>
    <w:p w:rsidR="00622BD2" w:rsidRPr="004A00B3" w:rsidRDefault="00622BD2" w:rsidP="00735477">
      <w:pPr>
        <w:rPr>
          <w:color w:val="808080" w:themeColor="background1" w:themeShade="80"/>
        </w:rPr>
      </w:pPr>
      <w:r w:rsidRPr="004A00B3">
        <w:rPr>
          <w:color w:val="808080" w:themeColor="background1" w:themeShade="80"/>
        </w:rPr>
        <w:t xml:space="preserve">Grey = No further contact is </w:t>
      </w:r>
      <w:r w:rsidR="000B39A9" w:rsidRPr="004A00B3">
        <w:rPr>
          <w:color w:val="808080" w:themeColor="background1" w:themeShade="80"/>
        </w:rPr>
        <w:t xml:space="preserve">required </w:t>
      </w:r>
      <w:r w:rsidRPr="004A00B3">
        <w:rPr>
          <w:color w:val="808080" w:themeColor="background1" w:themeShade="80"/>
        </w:rPr>
        <w:t>with OptumRx</w:t>
      </w:r>
    </w:p>
    <w:p w:rsidR="00735477" w:rsidRPr="00381106" w:rsidRDefault="00622BD2" w:rsidP="00735477">
      <w:pPr>
        <w:rPr>
          <w:color w:val="FF0000"/>
        </w:rPr>
      </w:pPr>
      <w:r w:rsidRPr="00381106">
        <w:rPr>
          <w:color w:val="FF0000"/>
        </w:rPr>
        <w:t xml:space="preserve">Red = </w:t>
      </w:r>
      <w:r w:rsidR="004A00B3" w:rsidRPr="00381106">
        <w:rPr>
          <w:color w:val="FF0000"/>
        </w:rPr>
        <w:t>Requires further c</w:t>
      </w:r>
      <w:r w:rsidRPr="00381106">
        <w:rPr>
          <w:color w:val="FF0000"/>
        </w:rPr>
        <w:t>ontact with OptumRx (see below for details)</w:t>
      </w:r>
    </w:p>
    <w:p w:rsidR="00735477" w:rsidRPr="00735477" w:rsidRDefault="00735477" w:rsidP="00B53EE5"/>
    <w:p w:rsidR="00735477" w:rsidRPr="00735477" w:rsidRDefault="00735477" w:rsidP="00B53EE5">
      <w:pPr>
        <w:pStyle w:val="ListParagraph"/>
        <w:numPr>
          <w:ilvl w:val="0"/>
          <w:numId w:val="35"/>
        </w:numPr>
        <w:rPr>
          <w:rFonts w:ascii="Arial" w:hAnsi="Arial" w:cs="Arial"/>
          <w:color w:val="000000"/>
        </w:rPr>
      </w:pPr>
      <w:r w:rsidRPr="00B53EE5">
        <w:rPr>
          <w:rFonts w:ascii="Arial" w:hAnsi="Arial" w:cs="Arial"/>
          <w:b/>
          <w:color w:val="000000"/>
        </w:rPr>
        <w:t>Any exemption in grey is already auto programmed into our system, no contact with OptumRx</w:t>
      </w:r>
      <w:r>
        <w:rPr>
          <w:rFonts w:ascii="Arial" w:hAnsi="Arial" w:cs="Arial"/>
          <w:color w:val="000000"/>
        </w:rPr>
        <w:t xml:space="preserve"> </w:t>
      </w:r>
      <w:r w:rsidR="00B53EE5" w:rsidRPr="00B53EE5">
        <w:rPr>
          <w:rFonts w:ascii="Arial" w:hAnsi="Arial" w:cs="Arial"/>
          <w:b/>
          <w:color w:val="000000"/>
        </w:rPr>
        <w:t>home delivery pharmacy</w:t>
      </w:r>
      <w:r w:rsidR="00B53E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is necessary for a provider or member that meets one of those criteria</w:t>
      </w:r>
    </w:p>
    <w:p w:rsidR="00735477" w:rsidRPr="00735477" w:rsidRDefault="00735477" w:rsidP="00B53EE5">
      <w:pPr>
        <w:pStyle w:val="ListParagraph"/>
        <w:numPr>
          <w:ilvl w:val="0"/>
          <w:numId w:val="35"/>
        </w:numPr>
        <w:rPr>
          <w:rFonts w:ascii="Arial" w:hAnsi="Arial" w:cs="Arial"/>
          <w:color w:val="000000"/>
        </w:rPr>
      </w:pPr>
      <w:r w:rsidRPr="00735477">
        <w:rPr>
          <w:rFonts w:ascii="Arial" w:hAnsi="Arial" w:cs="Arial"/>
          <w:color w:val="000000"/>
        </w:rPr>
        <w:t xml:space="preserve">Exemptions in </w:t>
      </w:r>
      <w:r w:rsidRPr="00735477">
        <w:rPr>
          <w:rFonts w:ascii="Arial" w:hAnsi="Arial" w:cs="Arial"/>
          <w:color w:val="C00000"/>
        </w:rPr>
        <w:t>Red</w:t>
      </w:r>
      <w:r w:rsidRPr="00735477">
        <w:rPr>
          <w:rFonts w:ascii="Arial" w:hAnsi="Arial" w:cs="Arial"/>
          <w:color w:val="000000"/>
        </w:rPr>
        <w:t xml:space="preserve"> do require contact with an OptumRx</w:t>
      </w:r>
      <w:r w:rsidR="00B53EE5">
        <w:rPr>
          <w:rFonts w:ascii="Arial" w:hAnsi="Arial" w:cs="Arial"/>
          <w:color w:val="000000"/>
        </w:rPr>
        <w:t xml:space="preserve"> home delivery pharmacy </w:t>
      </w:r>
      <w:r w:rsidRPr="00735477">
        <w:rPr>
          <w:rFonts w:ascii="Arial" w:hAnsi="Arial" w:cs="Arial"/>
          <w:color w:val="000000"/>
        </w:rPr>
        <w:t xml:space="preserve"> representative to log your exemption if you qualify.  </w:t>
      </w:r>
      <w:r>
        <w:rPr>
          <w:rFonts w:ascii="Arial" w:hAnsi="Arial" w:cs="Arial"/>
          <w:color w:val="000000"/>
        </w:rPr>
        <w:t xml:space="preserve">You may contact </w:t>
      </w:r>
      <w:hyperlink r:id="rId9" w:history="1">
        <w:r w:rsidRPr="00744E7E">
          <w:rPr>
            <w:rStyle w:val="Hyperlink"/>
            <w:rFonts w:ascii="Arial" w:hAnsi="Arial" w:cs="Arial"/>
          </w:rPr>
          <w:t>EPCSquestions@optum.com</w:t>
        </w:r>
      </w:hyperlink>
      <w:r w:rsidRPr="00744E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if you are a provider and believe one of these apply to you.</w:t>
      </w:r>
    </w:p>
    <w:p w:rsidR="00C040C8" w:rsidRPr="00B53EE5" w:rsidRDefault="00B53EE5" w:rsidP="00B53EE5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If you are in a state that already requires EPCS and have an exemption logged with the state, you may also email</w:t>
      </w:r>
      <w:r w:rsidR="00C040C8" w:rsidRPr="00744E7E">
        <w:rPr>
          <w:rFonts w:ascii="Arial" w:hAnsi="Arial" w:cs="Arial"/>
        </w:rPr>
        <w:t xml:space="preserve"> </w:t>
      </w:r>
      <w:hyperlink r:id="rId10" w:history="1">
        <w:r w:rsidR="00C040C8" w:rsidRPr="00744E7E">
          <w:rPr>
            <w:rStyle w:val="Hyperlink"/>
            <w:rFonts w:ascii="Arial" w:hAnsi="Arial" w:cs="Arial"/>
          </w:rPr>
          <w:t>EPCSquestions@optum.com</w:t>
        </w:r>
      </w:hyperlink>
      <w:r>
        <w:rPr>
          <w:rFonts w:ascii="Arial" w:hAnsi="Arial" w:cs="Arial"/>
        </w:rPr>
        <w:t xml:space="preserve"> to have your exemption logged at OptumRx home delivery pharmacy.</w:t>
      </w:r>
    </w:p>
    <w:p w:rsidR="00B53EE5" w:rsidRPr="00B53EE5" w:rsidRDefault="00B53EE5" w:rsidP="00B53EE5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B53EE5">
        <w:rPr>
          <w:rFonts w:ascii="Arial" w:hAnsi="Arial" w:cs="Arial"/>
        </w:rPr>
        <w:t>Members may call the number on the back of their insurance card to ensure an exemption is logged if they have a hardship to use retail pharmacy.</w:t>
      </w:r>
      <w:r>
        <w:rPr>
          <w:rFonts w:ascii="Arial" w:hAnsi="Arial" w:cs="Arial"/>
        </w:rPr>
        <w:t xml:space="preserve">  Impacted members have received communications regarding this change.</w:t>
      </w:r>
    </w:p>
    <w:p w:rsidR="00B53EE5" w:rsidRDefault="00B53EE5">
      <w:pPr>
        <w:rPr>
          <w:b/>
          <w:bCs/>
          <w:color w:val="ED7D31"/>
          <w:sz w:val="24"/>
          <w:szCs w:val="24"/>
        </w:rPr>
      </w:pPr>
      <w:r>
        <w:rPr>
          <w:b/>
          <w:bCs/>
          <w:color w:val="ED7D31"/>
          <w:sz w:val="24"/>
          <w:szCs w:val="24"/>
        </w:rPr>
        <w:br w:type="page"/>
      </w:r>
    </w:p>
    <w:p w:rsidR="00564E43" w:rsidRDefault="00564E43">
      <w:pPr>
        <w:rPr>
          <w:b/>
          <w:bCs/>
          <w:color w:val="ED7D31"/>
          <w:sz w:val="24"/>
          <w:szCs w:val="24"/>
        </w:rPr>
      </w:pPr>
    </w:p>
    <w:p w:rsidR="00564E43" w:rsidRDefault="00564E43">
      <w:pPr>
        <w:rPr>
          <w:rFonts w:ascii="Arial" w:hAnsi="Arial" w:cs="Arial"/>
          <w:b/>
          <w:bCs/>
          <w:color w:val="ED7D31"/>
          <w:sz w:val="24"/>
          <w:szCs w:val="24"/>
        </w:rPr>
      </w:pPr>
    </w:p>
    <w:p w:rsidR="004C4C1C" w:rsidRPr="004C4C1C" w:rsidRDefault="004C4C1C" w:rsidP="004C4C1C">
      <w:pPr>
        <w:pStyle w:val="ColorBullet"/>
        <w:ind w:left="0" w:firstLine="0"/>
        <w:rPr>
          <w:b/>
          <w:bCs/>
          <w:color w:val="ED7D31"/>
          <w:sz w:val="24"/>
          <w:szCs w:val="24"/>
        </w:rPr>
      </w:pPr>
      <w:r>
        <w:rPr>
          <w:b/>
          <w:bCs/>
          <w:color w:val="ED7D31"/>
          <w:sz w:val="24"/>
          <w:szCs w:val="24"/>
        </w:rPr>
        <w:t>EPCS Requirements and Regulations</w:t>
      </w:r>
    </w:p>
    <w:p w:rsidR="004C4C1C" w:rsidRDefault="004C4C1C" w:rsidP="0058482D">
      <w:pPr>
        <w:pStyle w:val="Body"/>
        <w:rPr>
          <w:rFonts w:ascii="Calibri" w:hAnsi="Calibri" w:cs="Calibri"/>
        </w:rPr>
      </w:pPr>
    </w:p>
    <w:p w:rsidR="0058482D" w:rsidRDefault="0058482D" w:rsidP="0058482D">
      <w:pPr>
        <w:pStyle w:val="Body"/>
        <w:rPr>
          <w:b/>
          <w:bCs/>
          <w:sz w:val="22"/>
          <w:szCs w:val="22"/>
        </w:rPr>
      </w:pPr>
      <w:r>
        <w:rPr>
          <w:rFonts w:ascii="Calibri" w:hAnsi="Calibri" w:cs="Calibri"/>
        </w:rPr>
        <w:t> </w:t>
      </w:r>
      <w:r>
        <w:rPr>
          <w:b/>
          <w:bCs/>
          <w:sz w:val="22"/>
          <w:szCs w:val="22"/>
        </w:rPr>
        <w:t xml:space="preserve">What are the requirements for Providers </w:t>
      </w:r>
      <w:r w:rsidR="000A1D26">
        <w:rPr>
          <w:b/>
          <w:bCs/>
          <w:sz w:val="22"/>
          <w:szCs w:val="22"/>
        </w:rPr>
        <w:t xml:space="preserve">to obtain and use </w:t>
      </w:r>
      <w:r>
        <w:rPr>
          <w:b/>
          <w:bCs/>
          <w:sz w:val="22"/>
          <w:szCs w:val="22"/>
        </w:rPr>
        <w:t>EPCS technology?</w:t>
      </w:r>
    </w:p>
    <w:p w:rsidR="00A62CCA" w:rsidRPr="00A62CCA" w:rsidRDefault="0061280B" w:rsidP="00A62CCA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The provider must register with the DEA and obtain a DEA number in order to be able to p</w:t>
      </w:r>
      <w:r w:rsidR="00A62CCA">
        <w:rPr>
          <w:sz w:val="22"/>
          <w:szCs w:val="22"/>
        </w:rPr>
        <w:t>rescribe controlled substances</w:t>
      </w:r>
      <w:r w:rsidR="002C366E">
        <w:rPr>
          <w:sz w:val="22"/>
          <w:szCs w:val="22"/>
        </w:rPr>
        <w:t>.</w:t>
      </w:r>
    </w:p>
    <w:p w:rsidR="00A62CCA" w:rsidRPr="00A62CCA" w:rsidRDefault="0061280B" w:rsidP="00A62CCA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The provider</w:t>
      </w:r>
      <w:r w:rsidR="00C62C25">
        <w:rPr>
          <w:sz w:val="22"/>
          <w:szCs w:val="22"/>
        </w:rPr>
        <w:t>’s</w:t>
      </w:r>
      <w:r>
        <w:rPr>
          <w:sz w:val="22"/>
          <w:szCs w:val="22"/>
        </w:rPr>
        <w:t xml:space="preserve"> EHR/EMR or technology must be a certified product by a third party auditor or a certification body (ensuring the proper c</w:t>
      </w:r>
      <w:r w:rsidR="00332484">
        <w:rPr>
          <w:sz w:val="22"/>
          <w:szCs w:val="22"/>
        </w:rPr>
        <w:t xml:space="preserve">reation, signing, and refilling </w:t>
      </w:r>
      <w:r>
        <w:rPr>
          <w:sz w:val="22"/>
          <w:szCs w:val="22"/>
        </w:rPr>
        <w:t>of controlled substance prescriptions)</w:t>
      </w:r>
      <w:r w:rsidR="002C366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61280B" w:rsidRPr="007A43D0" w:rsidRDefault="0061280B" w:rsidP="0058482D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EPCS technology security protection</w:t>
      </w:r>
      <w:r w:rsidR="0058482D">
        <w:rPr>
          <w:sz w:val="22"/>
          <w:szCs w:val="22"/>
        </w:rPr>
        <w:t xml:space="preserve"> must have </w:t>
      </w:r>
      <w:r>
        <w:rPr>
          <w:sz w:val="22"/>
          <w:szCs w:val="22"/>
        </w:rPr>
        <w:t xml:space="preserve">the </w:t>
      </w:r>
      <w:r w:rsidR="00A5297C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Pr="007A43D0">
        <w:rPr>
          <w:sz w:val="22"/>
          <w:szCs w:val="22"/>
        </w:rPr>
        <w:t>factor authentication</w:t>
      </w:r>
      <w:r w:rsidR="00613B44" w:rsidRPr="007A43D0">
        <w:rPr>
          <w:sz w:val="22"/>
          <w:szCs w:val="22"/>
        </w:rPr>
        <w:t xml:space="preserve"> -- </w:t>
      </w:r>
      <w:r w:rsidRPr="007A43D0">
        <w:rPr>
          <w:sz w:val="22"/>
          <w:szCs w:val="22"/>
        </w:rPr>
        <w:t>and identity verification</w:t>
      </w:r>
      <w:r w:rsidR="00613B44" w:rsidRPr="007A43D0">
        <w:rPr>
          <w:sz w:val="22"/>
          <w:szCs w:val="22"/>
        </w:rPr>
        <w:t xml:space="preserve"> --</w:t>
      </w:r>
      <w:r w:rsidR="0058482D" w:rsidRPr="007A43D0">
        <w:rPr>
          <w:sz w:val="22"/>
          <w:szCs w:val="22"/>
        </w:rPr>
        <w:t xml:space="preserve"> in place to </w:t>
      </w:r>
      <w:r w:rsidR="00A62CCA" w:rsidRPr="007A43D0">
        <w:rPr>
          <w:sz w:val="22"/>
          <w:szCs w:val="22"/>
        </w:rPr>
        <w:t>meet national standards</w:t>
      </w:r>
      <w:r w:rsidR="002E1851" w:rsidRPr="007A43D0">
        <w:rPr>
          <w:sz w:val="22"/>
          <w:szCs w:val="22"/>
        </w:rPr>
        <w:t>.</w:t>
      </w:r>
      <w:r w:rsidRPr="007A43D0">
        <w:rPr>
          <w:sz w:val="22"/>
          <w:szCs w:val="22"/>
        </w:rPr>
        <w:t xml:space="preserve"> </w:t>
      </w:r>
    </w:p>
    <w:p w:rsidR="0061280B" w:rsidRDefault="0061280B" w:rsidP="0061280B">
      <w:pPr>
        <w:pStyle w:val="Body"/>
      </w:pPr>
    </w:p>
    <w:p w:rsidR="004C4C1C" w:rsidRPr="00332484" w:rsidRDefault="004C4C1C" w:rsidP="004C4C1C">
      <w:pPr>
        <w:pStyle w:val="ColorBullet"/>
        <w:ind w:left="0" w:firstLine="0"/>
        <w:rPr>
          <w:b/>
          <w:bCs/>
          <w:sz w:val="22"/>
          <w:szCs w:val="24"/>
        </w:rPr>
      </w:pPr>
      <w:r w:rsidRPr="00332484">
        <w:rPr>
          <w:b/>
          <w:bCs/>
          <w:sz w:val="22"/>
          <w:szCs w:val="24"/>
        </w:rPr>
        <w:t>State Board of Pharmacy Regulations</w:t>
      </w:r>
    </w:p>
    <w:p w:rsidR="00552816" w:rsidRPr="00934A34" w:rsidRDefault="00B53EE5" w:rsidP="00552816">
      <w:pPr>
        <w:pStyle w:val="ColorBullet"/>
        <w:numPr>
          <w:ilvl w:val="0"/>
          <w:numId w:val="26"/>
        </w:numPr>
        <w:rPr>
          <w:b/>
          <w:bCs/>
          <w:sz w:val="24"/>
          <w:szCs w:val="24"/>
        </w:rPr>
      </w:pPr>
      <w:r>
        <w:rPr>
          <w:sz w:val="22"/>
          <w:szCs w:val="22"/>
        </w:rPr>
        <w:t>Multiple states already require controlled substances to be sent electronically, and many have legislation in place that will be enacted soon</w:t>
      </w:r>
      <w:r w:rsidR="00A5297C">
        <w:rPr>
          <w:sz w:val="22"/>
          <w:szCs w:val="22"/>
        </w:rPr>
        <w:t>.</w:t>
      </w:r>
      <w:r>
        <w:rPr>
          <w:sz w:val="22"/>
          <w:szCs w:val="22"/>
        </w:rPr>
        <w:t xml:space="preserve">  Please reach out to your state board if you have any questions for your state.</w:t>
      </w:r>
    </w:p>
    <w:p w:rsidR="00D775E5" w:rsidRDefault="00D775E5" w:rsidP="00A5297C">
      <w:pPr>
        <w:pStyle w:val="ColorBullet"/>
        <w:ind w:left="0" w:firstLine="0"/>
        <w:rPr>
          <w:b/>
          <w:bCs/>
          <w:iCs/>
          <w:sz w:val="22"/>
          <w:szCs w:val="22"/>
        </w:rPr>
      </w:pPr>
    </w:p>
    <w:p w:rsidR="004C4C1C" w:rsidRPr="00332484" w:rsidRDefault="004C4C1C" w:rsidP="00A5297C">
      <w:pPr>
        <w:pStyle w:val="ColorBullet"/>
        <w:ind w:left="0" w:firstLine="0"/>
        <w:rPr>
          <w:b/>
          <w:bCs/>
          <w:iCs/>
          <w:sz w:val="22"/>
          <w:szCs w:val="22"/>
        </w:rPr>
      </w:pPr>
      <w:r w:rsidRPr="00332484">
        <w:rPr>
          <w:b/>
          <w:bCs/>
          <w:iCs/>
          <w:sz w:val="22"/>
          <w:szCs w:val="22"/>
        </w:rPr>
        <w:t>Federal Regulations</w:t>
      </w:r>
    </w:p>
    <w:p w:rsidR="004C4C1C" w:rsidRDefault="004C4C1C" w:rsidP="00552816">
      <w:pPr>
        <w:pStyle w:val="ColorBulle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October 24, 2018, H.R. 6</w:t>
      </w:r>
      <w:r w:rsidR="00023B18">
        <w:rPr>
          <w:sz w:val="22"/>
          <w:szCs w:val="22"/>
        </w:rPr>
        <w:t xml:space="preserve"> (the “SUPPORT Act”) was signed into law.  It mandates</w:t>
      </w:r>
      <w:r w:rsidR="00D66B80">
        <w:rPr>
          <w:sz w:val="22"/>
          <w:szCs w:val="22"/>
        </w:rPr>
        <w:t xml:space="preserve"> that</w:t>
      </w:r>
      <w:r w:rsidR="00023B18">
        <w:rPr>
          <w:sz w:val="22"/>
          <w:szCs w:val="22"/>
        </w:rPr>
        <w:t>, with limited ex</w:t>
      </w:r>
      <w:r w:rsidR="00564E43">
        <w:rPr>
          <w:sz w:val="22"/>
          <w:szCs w:val="22"/>
        </w:rPr>
        <w:t>emptions</w:t>
      </w:r>
      <w:r w:rsidR="00023B1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ePrescribing</w:t>
      </w:r>
      <w:proofErr w:type="spellEnd"/>
      <w:r>
        <w:rPr>
          <w:sz w:val="22"/>
          <w:szCs w:val="22"/>
        </w:rPr>
        <w:t xml:space="preserve"> will be required for </w:t>
      </w:r>
      <w:r w:rsidR="00023B18">
        <w:rPr>
          <w:sz w:val="22"/>
          <w:szCs w:val="22"/>
        </w:rPr>
        <w:t xml:space="preserve">controlled substance prescriptions for </w:t>
      </w:r>
      <w:r>
        <w:rPr>
          <w:sz w:val="22"/>
          <w:szCs w:val="22"/>
        </w:rPr>
        <w:t xml:space="preserve">MAP-D and Part D plan </w:t>
      </w:r>
      <w:r w:rsidR="00023B18">
        <w:rPr>
          <w:sz w:val="22"/>
          <w:szCs w:val="22"/>
        </w:rPr>
        <w:t xml:space="preserve">members </w:t>
      </w:r>
      <w:r>
        <w:rPr>
          <w:sz w:val="22"/>
          <w:szCs w:val="22"/>
        </w:rPr>
        <w:t xml:space="preserve">effective </w:t>
      </w:r>
      <w:r w:rsidR="00023B18">
        <w:rPr>
          <w:sz w:val="22"/>
          <w:szCs w:val="22"/>
        </w:rPr>
        <w:t>January 1, 2021.</w:t>
      </w:r>
      <w:r w:rsidR="00B53EE5">
        <w:rPr>
          <w:sz w:val="22"/>
          <w:szCs w:val="22"/>
        </w:rPr>
        <w:t xml:space="preserve">  All Exemptions offered by OptumRx align with the CMS SUPPORT Act.</w:t>
      </w:r>
    </w:p>
    <w:p w:rsidR="00744E7E" w:rsidRDefault="00744E7E" w:rsidP="00511919">
      <w:pPr>
        <w:pStyle w:val="ColorBullet"/>
        <w:ind w:left="0" w:firstLine="0"/>
        <w:rPr>
          <w:b/>
          <w:bCs/>
          <w:color w:val="ED7D31"/>
          <w:sz w:val="24"/>
          <w:szCs w:val="24"/>
        </w:rPr>
      </w:pPr>
    </w:p>
    <w:p w:rsidR="000A1D26" w:rsidRDefault="000A1D26" w:rsidP="00004022">
      <w:pPr>
        <w:pStyle w:val="Heading2"/>
        <w:rPr>
          <w:rFonts w:eastAsia="Times New Roman"/>
          <w:sz w:val="22"/>
          <w:szCs w:val="22"/>
        </w:rPr>
      </w:pPr>
    </w:p>
    <w:p w:rsidR="0061280B" w:rsidRDefault="0061280B" w:rsidP="0061280B">
      <w:pPr>
        <w:rPr>
          <w:rFonts w:ascii="Arial" w:hAnsi="Arial" w:cs="Arial"/>
          <w:b/>
          <w:bCs/>
          <w:color w:val="ED7D31"/>
          <w:sz w:val="24"/>
          <w:szCs w:val="24"/>
        </w:rPr>
      </w:pPr>
      <w:r>
        <w:rPr>
          <w:rFonts w:ascii="Arial" w:hAnsi="Arial" w:cs="Arial"/>
          <w:b/>
          <w:bCs/>
          <w:color w:val="ED7D31"/>
          <w:sz w:val="24"/>
          <w:szCs w:val="24"/>
        </w:rPr>
        <w:t>Member Experience</w:t>
      </w:r>
    </w:p>
    <w:p w:rsidR="0061280B" w:rsidRDefault="0061280B" w:rsidP="0061280B">
      <w:pPr>
        <w:pStyle w:val="Heading2"/>
        <w:rPr>
          <w:rFonts w:eastAsia="Times New Roman"/>
          <w:sz w:val="22"/>
          <w:szCs w:val="22"/>
        </w:rPr>
      </w:pPr>
    </w:p>
    <w:p w:rsidR="0061280B" w:rsidRDefault="0061280B" w:rsidP="0061280B">
      <w:pPr>
        <w:pStyle w:val="Heading2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How many members will be impacted? </w:t>
      </w:r>
    </w:p>
    <w:p w:rsidR="0061280B" w:rsidRDefault="0061280B" w:rsidP="00E70F87">
      <w:pPr>
        <w:pStyle w:val="Body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Based on the recent data pull containing 12 months of home delivery claims, 130,000*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members will be impacted by the program.</w:t>
      </w:r>
    </w:p>
    <w:p w:rsidR="00D775E5" w:rsidRDefault="00D775E5" w:rsidP="00D775E5">
      <w:pPr>
        <w:pStyle w:val="Body"/>
        <w:ind w:left="360"/>
        <w:rPr>
          <w:sz w:val="22"/>
          <w:szCs w:val="22"/>
        </w:rPr>
      </w:pPr>
    </w:p>
    <w:p w:rsidR="0061280B" w:rsidRDefault="0061280B" w:rsidP="00E70F87">
      <w:pPr>
        <w:pStyle w:val="Body"/>
        <w:ind w:left="720"/>
        <w:rPr>
          <w:sz w:val="16"/>
          <w:szCs w:val="16"/>
        </w:rPr>
      </w:pPr>
      <w:r>
        <w:rPr>
          <w:sz w:val="16"/>
          <w:szCs w:val="16"/>
        </w:rPr>
        <w:t>*Note: this is just an estimate, and the actual impacted number may be higher or lower depending upon changes in utilization.</w:t>
      </w:r>
    </w:p>
    <w:p w:rsidR="0061280B" w:rsidRDefault="0061280B" w:rsidP="0061280B"/>
    <w:p w:rsidR="00CC7FBC" w:rsidRDefault="00CC7FBC" w:rsidP="0061280B">
      <w:pPr>
        <w:pStyle w:val="Bod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What will be the </w:t>
      </w:r>
      <w:r w:rsidR="000C4CB3">
        <w:rPr>
          <w:b/>
          <w:bCs/>
          <w:sz w:val="22"/>
          <w:szCs w:val="22"/>
        </w:rPr>
        <w:t>home delivery</w:t>
      </w:r>
      <w:r>
        <w:rPr>
          <w:b/>
          <w:bCs/>
          <w:sz w:val="22"/>
          <w:szCs w:val="22"/>
        </w:rPr>
        <w:t xml:space="preserve"> pharmacy process after </w:t>
      </w:r>
      <w:r w:rsidR="004A0089">
        <w:rPr>
          <w:b/>
          <w:bCs/>
          <w:sz w:val="22"/>
          <w:szCs w:val="22"/>
        </w:rPr>
        <w:t>March</w:t>
      </w:r>
      <w:r>
        <w:rPr>
          <w:b/>
          <w:bCs/>
          <w:sz w:val="22"/>
          <w:szCs w:val="22"/>
        </w:rPr>
        <w:t xml:space="preserve"> 1, 2020</w:t>
      </w:r>
      <w:r w:rsidRPr="00CC7FB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when receiving paper, fax or telephone prescriptions for controlled substances?</w:t>
      </w:r>
    </w:p>
    <w:p w:rsidR="00320C56" w:rsidRPr="00320C56" w:rsidRDefault="00320C56" w:rsidP="00320C56">
      <w:pPr>
        <w:pStyle w:val="Body"/>
        <w:numPr>
          <w:ilvl w:val="0"/>
          <w:numId w:val="30"/>
        </w:numPr>
        <w:rPr>
          <w:sz w:val="22"/>
          <w:szCs w:val="22"/>
        </w:rPr>
      </w:pPr>
      <w:r w:rsidRPr="00320C56">
        <w:rPr>
          <w:sz w:val="22"/>
          <w:szCs w:val="22"/>
        </w:rPr>
        <w:t>An outreach will be made to the provider to obtain an electronic prescription</w:t>
      </w:r>
    </w:p>
    <w:p w:rsidR="00320C56" w:rsidRPr="00744E7E" w:rsidRDefault="00320C56" w:rsidP="00320C56">
      <w:pPr>
        <w:pStyle w:val="Body"/>
        <w:numPr>
          <w:ilvl w:val="0"/>
          <w:numId w:val="30"/>
        </w:numPr>
        <w:rPr>
          <w:sz w:val="22"/>
          <w:szCs w:val="22"/>
        </w:rPr>
      </w:pPr>
      <w:r w:rsidRPr="00744E7E">
        <w:rPr>
          <w:sz w:val="22"/>
          <w:szCs w:val="22"/>
        </w:rPr>
        <w:t>If no response is received from the provider</w:t>
      </w:r>
      <w:r w:rsidR="000B39A9">
        <w:rPr>
          <w:sz w:val="22"/>
          <w:szCs w:val="22"/>
        </w:rPr>
        <w:t>,</w:t>
      </w:r>
      <w:r w:rsidRPr="00744E7E">
        <w:rPr>
          <w:sz w:val="22"/>
          <w:szCs w:val="22"/>
        </w:rPr>
        <w:t xml:space="preserve"> we will inform the </w:t>
      </w:r>
      <w:r w:rsidR="000B39A9">
        <w:rPr>
          <w:sz w:val="22"/>
          <w:szCs w:val="22"/>
        </w:rPr>
        <w:t>patient</w:t>
      </w:r>
      <w:r w:rsidR="000B39A9" w:rsidRPr="00744E7E">
        <w:rPr>
          <w:sz w:val="22"/>
          <w:szCs w:val="22"/>
        </w:rPr>
        <w:t xml:space="preserve"> </w:t>
      </w:r>
      <w:r w:rsidRPr="00744E7E">
        <w:rPr>
          <w:sz w:val="22"/>
          <w:szCs w:val="22"/>
        </w:rPr>
        <w:t>that their prescription will not be filled</w:t>
      </w:r>
      <w:r w:rsidR="00D91571" w:rsidRPr="00744E7E">
        <w:rPr>
          <w:sz w:val="22"/>
          <w:szCs w:val="22"/>
        </w:rPr>
        <w:t xml:space="preserve">.  </w:t>
      </w:r>
      <w:r w:rsidR="00DB4509" w:rsidRPr="00744E7E">
        <w:rPr>
          <w:sz w:val="22"/>
          <w:szCs w:val="22"/>
        </w:rPr>
        <w:t xml:space="preserve">OptumRx home delivery pharmacy will return hard copy prescriptions to patients </w:t>
      </w:r>
      <w:r w:rsidR="00B53EE5">
        <w:rPr>
          <w:sz w:val="22"/>
          <w:szCs w:val="22"/>
        </w:rPr>
        <w:t>and help to find a local in network pharmacy when needed.</w:t>
      </w:r>
    </w:p>
    <w:p w:rsidR="00CC7FBC" w:rsidRPr="004A0089" w:rsidRDefault="00CC7FBC" w:rsidP="0061280B">
      <w:pPr>
        <w:pStyle w:val="Body"/>
        <w:rPr>
          <w:b/>
          <w:bCs/>
          <w:color w:val="FF0000"/>
          <w:sz w:val="22"/>
          <w:szCs w:val="22"/>
        </w:rPr>
      </w:pPr>
    </w:p>
    <w:p w:rsidR="0061280B" w:rsidRDefault="0061280B" w:rsidP="0061280B">
      <w:pPr>
        <w:pStyle w:val="Body"/>
        <w:rPr>
          <w:sz w:val="22"/>
          <w:szCs w:val="22"/>
        </w:rPr>
      </w:pPr>
    </w:p>
    <w:p w:rsidR="0061280B" w:rsidRPr="00F86305" w:rsidRDefault="004A00B3" w:rsidP="004A00B3">
      <w:pPr>
        <w:pStyle w:val="Bod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If you have additional questions:</w:t>
      </w:r>
    </w:p>
    <w:p w:rsidR="00F86305" w:rsidRPr="00F86305" w:rsidRDefault="00F86305" w:rsidP="004A00B3">
      <w:pPr>
        <w:pStyle w:val="Body"/>
        <w:jc w:val="center"/>
        <w:rPr>
          <w:b/>
          <w:bCs/>
          <w:sz w:val="22"/>
          <w:szCs w:val="22"/>
        </w:rPr>
      </w:pPr>
      <w:r w:rsidRPr="00F86305">
        <w:rPr>
          <w:b/>
          <w:bCs/>
          <w:sz w:val="22"/>
          <w:szCs w:val="22"/>
        </w:rPr>
        <w:t>Contact</w:t>
      </w:r>
      <w:r w:rsidR="004A00B3">
        <w:rPr>
          <w:b/>
          <w:bCs/>
          <w:sz w:val="22"/>
          <w:szCs w:val="22"/>
        </w:rPr>
        <w:t xml:space="preserve"> the</w:t>
      </w:r>
      <w:r w:rsidRPr="00F86305">
        <w:rPr>
          <w:b/>
          <w:bCs/>
          <w:sz w:val="22"/>
          <w:szCs w:val="22"/>
        </w:rPr>
        <w:t xml:space="preserve"> OptumRx </w:t>
      </w:r>
      <w:r w:rsidR="004A00B3">
        <w:rPr>
          <w:b/>
          <w:bCs/>
          <w:sz w:val="22"/>
          <w:szCs w:val="22"/>
        </w:rPr>
        <w:t>EPCS Email Hotline</w:t>
      </w:r>
    </w:p>
    <w:p w:rsidR="00F86305" w:rsidRPr="004A00B3" w:rsidRDefault="00B73B1C" w:rsidP="004A00B3">
      <w:pPr>
        <w:pStyle w:val="Body"/>
        <w:jc w:val="center"/>
        <w:rPr>
          <w:b/>
          <w:bCs/>
          <w:sz w:val="28"/>
          <w:szCs w:val="28"/>
        </w:rPr>
      </w:pPr>
      <w:hyperlink r:id="rId11" w:history="1">
        <w:r w:rsidR="00F86305" w:rsidRPr="004A00B3">
          <w:rPr>
            <w:rStyle w:val="Hyperlink"/>
            <w:sz w:val="28"/>
            <w:szCs w:val="28"/>
          </w:rPr>
          <w:t>EPCSquestions@optum.com</w:t>
        </w:r>
      </w:hyperlink>
    </w:p>
    <w:sectPr w:rsidR="00F86305" w:rsidRPr="004A00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2452"/>
    <w:multiLevelType w:val="hybridMultilevel"/>
    <w:tmpl w:val="2074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E3470"/>
    <w:multiLevelType w:val="hybridMultilevel"/>
    <w:tmpl w:val="F3B85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643030"/>
    <w:multiLevelType w:val="hybridMultilevel"/>
    <w:tmpl w:val="D91ED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E2D0B"/>
    <w:multiLevelType w:val="hybridMultilevel"/>
    <w:tmpl w:val="8F682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325AA7"/>
    <w:multiLevelType w:val="hybridMultilevel"/>
    <w:tmpl w:val="4654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E6CE6"/>
    <w:multiLevelType w:val="hybridMultilevel"/>
    <w:tmpl w:val="E6CA7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E5D2F"/>
    <w:multiLevelType w:val="hybridMultilevel"/>
    <w:tmpl w:val="987C6314"/>
    <w:lvl w:ilvl="0" w:tplc="E4BC8D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538135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14C8A"/>
    <w:multiLevelType w:val="hybridMultilevel"/>
    <w:tmpl w:val="0F90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A1DA5"/>
    <w:multiLevelType w:val="hybridMultilevel"/>
    <w:tmpl w:val="CDF86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CE0367"/>
    <w:multiLevelType w:val="hybridMultilevel"/>
    <w:tmpl w:val="6B843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01ED2"/>
    <w:multiLevelType w:val="hybridMultilevel"/>
    <w:tmpl w:val="F930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A11DC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2643C"/>
    <w:multiLevelType w:val="hybridMultilevel"/>
    <w:tmpl w:val="32D22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E1B88"/>
    <w:multiLevelType w:val="hybridMultilevel"/>
    <w:tmpl w:val="F2A4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1367E"/>
    <w:multiLevelType w:val="hybridMultilevel"/>
    <w:tmpl w:val="133A0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16236C4">
      <w:numFmt w:val="bullet"/>
      <w:lvlText w:val=""/>
      <w:lvlJc w:val="left"/>
      <w:pPr>
        <w:ind w:left="1800" w:hanging="360"/>
      </w:pPr>
      <w:rPr>
        <w:rFonts w:ascii="Wingdings" w:eastAsiaTheme="minorHAnsi" w:hAnsi="Wingdings" w:cs="Calibr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882C03"/>
    <w:multiLevelType w:val="hybridMultilevel"/>
    <w:tmpl w:val="2F041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1253E6"/>
    <w:multiLevelType w:val="hybridMultilevel"/>
    <w:tmpl w:val="D2D00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5D24D0"/>
    <w:multiLevelType w:val="hybridMultilevel"/>
    <w:tmpl w:val="00D2F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475378"/>
    <w:multiLevelType w:val="hybridMultilevel"/>
    <w:tmpl w:val="56AC5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64E85"/>
    <w:multiLevelType w:val="hybridMultilevel"/>
    <w:tmpl w:val="F68C2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1D37BA"/>
    <w:multiLevelType w:val="hybridMultilevel"/>
    <w:tmpl w:val="3B488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237A77"/>
    <w:multiLevelType w:val="hybridMultilevel"/>
    <w:tmpl w:val="3C642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6E0FF7"/>
    <w:multiLevelType w:val="hybridMultilevel"/>
    <w:tmpl w:val="5902F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AD035A"/>
    <w:multiLevelType w:val="hybridMultilevel"/>
    <w:tmpl w:val="A566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8135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543012"/>
    <w:multiLevelType w:val="hybridMultilevel"/>
    <w:tmpl w:val="61E0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6245B2"/>
    <w:multiLevelType w:val="hybridMultilevel"/>
    <w:tmpl w:val="12F6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344594"/>
    <w:multiLevelType w:val="hybridMultilevel"/>
    <w:tmpl w:val="1318F3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7C1C5C"/>
    <w:multiLevelType w:val="hybridMultilevel"/>
    <w:tmpl w:val="461068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E46380">
      <w:numFmt w:val="bullet"/>
      <w:lvlText w:val=""/>
      <w:lvlJc w:val="left"/>
      <w:pPr>
        <w:ind w:left="1800" w:hanging="360"/>
      </w:pPr>
      <w:rPr>
        <w:rFonts w:ascii="Wingdings" w:eastAsiaTheme="minorHAnsi" w:hAnsi="Wingdings" w:cs="Calibri" w:hint="default"/>
        <w:color w:val="70AD47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2E3013"/>
    <w:multiLevelType w:val="hybridMultilevel"/>
    <w:tmpl w:val="2424DD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8794AA2"/>
    <w:multiLevelType w:val="hybridMultilevel"/>
    <w:tmpl w:val="0D5E2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815B71"/>
    <w:multiLevelType w:val="hybridMultilevel"/>
    <w:tmpl w:val="94DC4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9DA2083"/>
    <w:multiLevelType w:val="hybridMultilevel"/>
    <w:tmpl w:val="E3F83F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8F5028"/>
    <w:multiLevelType w:val="hybridMultilevel"/>
    <w:tmpl w:val="BBF2E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6904278"/>
    <w:multiLevelType w:val="hybridMultilevel"/>
    <w:tmpl w:val="56EE6B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CBE5C8F"/>
    <w:multiLevelType w:val="hybridMultilevel"/>
    <w:tmpl w:val="4F4C7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9F6DD8"/>
    <w:multiLevelType w:val="hybridMultilevel"/>
    <w:tmpl w:val="6A48BD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9"/>
  </w:num>
  <w:num w:numId="4">
    <w:abstractNumId w:val="6"/>
  </w:num>
  <w:num w:numId="5">
    <w:abstractNumId w:val="22"/>
  </w:num>
  <w:num w:numId="6">
    <w:abstractNumId w:val="10"/>
  </w:num>
  <w:num w:numId="7">
    <w:abstractNumId w:val="14"/>
  </w:num>
  <w:num w:numId="8">
    <w:abstractNumId w:val="13"/>
  </w:num>
  <w:num w:numId="9">
    <w:abstractNumId w:val="1"/>
  </w:num>
  <w:num w:numId="10">
    <w:abstractNumId w:val="15"/>
  </w:num>
  <w:num w:numId="11">
    <w:abstractNumId w:val="26"/>
  </w:num>
  <w:num w:numId="12">
    <w:abstractNumId w:val="8"/>
  </w:num>
  <w:num w:numId="13">
    <w:abstractNumId w:val="31"/>
  </w:num>
  <w:num w:numId="14">
    <w:abstractNumId w:val="28"/>
  </w:num>
  <w:num w:numId="15">
    <w:abstractNumId w:val="17"/>
  </w:num>
  <w:num w:numId="16">
    <w:abstractNumId w:val="7"/>
  </w:num>
  <w:num w:numId="17">
    <w:abstractNumId w:val="20"/>
  </w:num>
  <w:num w:numId="18">
    <w:abstractNumId w:val="2"/>
  </w:num>
  <w:num w:numId="19">
    <w:abstractNumId w:val="27"/>
  </w:num>
  <w:num w:numId="20">
    <w:abstractNumId w:val="33"/>
  </w:num>
  <w:num w:numId="21">
    <w:abstractNumId w:val="18"/>
  </w:num>
  <w:num w:numId="22">
    <w:abstractNumId w:val="19"/>
  </w:num>
  <w:num w:numId="23">
    <w:abstractNumId w:val="4"/>
  </w:num>
  <w:num w:numId="24">
    <w:abstractNumId w:val="34"/>
  </w:num>
  <w:num w:numId="25">
    <w:abstractNumId w:val="3"/>
  </w:num>
  <w:num w:numId="26">
    <w:abstractNumId w:val="0"/>
  </w:num>
  <w:num w:numId="27">
    <w:abstractNumId w:val="23"/>
  </w:num>
  <w:num w:numId="28">
    <w:abstractNumId w:val="32"/>
  </w:num>
  <w:num w:numId="29">
    <w:abstractNumId w:val="21"/>
  </w:num>
  <w:num w:numId="30">
    <w:abstractNumId w:val="5"/>
  </w:num>
  <w:num w:numId="31">
    <w:abstractNumId w:val="24"/>
  </w:num>
  <w:num w:numId="32">
    <w:abstractNumId w:val="11"/>
  </w:num>
  <w:num w:numId="33">
    <w:abstractNumId w:val="30"/>
  </w:num>
  <w:num w:numId="34">
    <w:abstractNumId w:val="9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0B"/>
    <w:rsid w:val="00002E98"/>
    <w:rsid w:val="00004022"/>
    <w:rsid w:val="00023B18"/>
    <w:rsid w:val="0008160B"/>
    <w:rsid w:val="00087510"/>
    <w:rsid w:val="000A0FC9"/>
    <w:rsid w:val="000A1D26"/>
    <w:rsid w:val="000B39A9"/>
    <w:rsid w:val="000C4CB3"/>
    <w:rsid w:val="001142E7"/>
    <w:rsid w:val="00145131"/>
    <w:rsid w:val="002141E6"/>
    <w:rsid w:val="0024745F"/>
    <w:rsid w:val="00272E7C"/>
    <w:rsid w:val="00275B18"/>
    <w:rsid w:val="002845F9"/>
    <w:rsid w:val="00285F2C"/>
    <w:rsid w:val="00291D8A"/>
    <w:rsid w:val="002C366E"/>
    <w:rsid w:val="002D08DF"/>
    <w:rsid w:val="002D2B7F"/>
    <w:rsid w:val="002E1851"/>
    <w:rsid w:val="002E270D"/>
    <w:rsid w:val="00320C56"/>
    <w:rsid w:val="003241A6"/>
    <w:rsid w:val="00332484"/>
    <w:rsid w:val="00335670"/>
    <w:rsid w:val="00340E7A"/>
    <w:rsid w:val="00341891"/>
    <w:rsid w:val="00381106"/>
    <w:rsid w:val="003B62D7"/>
    <w:rsid w:val="003C55FF"/>
    <w:rsid w:val="00423B40"/>
    <w:rsid w:val="0042764B"/>
    <w:rsid w:val="004A0089"/>
    <w:rsid w:val="004A00B3"/>
    <w:rsid w:val="004C4C1C"/>
    <w:rsid w:val="004F578F"/>
    <w:rsid w:val="00511919"/>
    <w:rsid w:val="00515701"/>
    <w:rsid w:val="00515D40"/>
    <w:rsid w:val="00552816"/>
    <w:rsid w:val="00564E43"/>
    <w:rsid w:val="00570746"/>
    <w:rsid w:val="0057746C"/>
    <w:rsid w:val="0058116F"/>
    <w:rsid w:val="0058482D"/>
    <w:rsid w:val="005F6B85"/>
    <w:rsid w:val="00605314"/>
    <w:rsid w:val="0061280B"/>
    <w:rsid w:val="00613B44"/>
    <w:rsid w:val="0062081D"/>
    <w:rsid w:val="00622BD2"/>
    <w:rsid w:val="00630E24"/>
    <w:rsid w:val="0064124B"/>
    <w:rsid w:val="00651A02"/>
    <w:rsid w:val="00661AD7"/>
    <w:rsid w:val="006A249F"/>
    <w:rsid w:val="006D243E"/>
    <w:rsid w:val="00723637"/>
    <w:rsid w:val="00735044"/>
    <w:rsid w:val="007353C3"/>
    <w:rsid w:val="00735477"/>
    <w:rsid w:val="00744E7E"/>
    <w:rsid w:val="0075143E"/>
    <w:rsid w:val="00784AED"/>
    <w:rsid w:val="007A0A51"/>
    <w:rsid w:val="007A43D0"/>
    <w:rsid w:val="007D0E88"/>
    <w:rsid w:val="007D66C1"/>
    <w:rsid w:val="007F141D"/>
    <w:rsid w:val="008927D1"/>
    <w:rsid w:val="00895DBE"/>
    <w:rsid w:val="008D7410"/>
    <w:rsid w:val="00934A34"/>
    <w:rsid w:val="009D7D9F"/>
    <w:rsid w:val="009F55EB"/>
    <w:rsid w:val="00A11A37"/>
    <w:rsid w:val="00A3443A"/>
    <w:rsid w:val="00A5297C"/>
    <w:rsid w:val="00A62CCA"/>
    <w:rsid w:val="00AD145F"/>
    <w:rsid w:val="00AD5762"/>
    <w:rsid w:val="00AE6413"/>
    <w:rsid w:val="00B36035"/>
    <w:rsid w:val="00B53EE5"/>
    <w:rsid w:val="00B73B1C"/>
    <w:rsid w:val="00C040C8"/>
    <w:rsid w:val="00C33F18"/>
    <w:rsid w:val="00C62C25"/>
    <w:rsid w:val="00C87EED"/>
    <w:rsid w:val="00CC7FBC"/>
    <w:rsid w:val="00CD7F34"/>
    <w:rsid w:val="00D66B80"/>
    <w:rsid w:val="00D7308E"/>
    <w:rsid w:val="00D775E5"/>
    <w:rsid w:val="00D91571"/>
    <w:rsid w:val="00D919F0"/>
    <w:rsid w:val="00D95C6D"/>
    <w:rsid w:val="00DB4509"/>
    <w:rsid w:val="00E076F7"/>
    <w:rsid w:val="00E32359"/>
    <w:rsid w:val="00E70F87"/>
    <w:rsid w:val="00EE6A63"/>
    <w:rsid w:val="00EF18B3"/>
    <w:rsid w:val="00EF7BD8"/>
    <w:rsid w:val="00F14D7D"/>
    <w:rsid w:val="00F359C8"/>
    <w:rsid w:val="00F6078C"/>
    <w:rsid w:val="00F66FA0"/>
    <w:rsid w:val="00F86305"/>
    <w:rsid w:val="00F95579"/>
    <w:rsid w:val="00FC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80B"/>
    <w:rPr>
      <w:rFonts w:ascii="Calibri" w:hAnsi="Calibri" w:cs="Calibri"/>
      <w:sz w:val="22"/>
      <w:szCs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61280B"/>
    <w:pPr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280B"/>
    <w:rPr>
      <w:rFonts w:ascii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61280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1280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280B"/>
    <w:pPr>
      <w:spacing w:after="200" w:line="276" w:lineRule="auto"/>
      <w:ind w:left="720"/>
    </w:pPr>
  </w:style>
  <w:style w:type="paragraph" w:customStyle="1" w:styleId="Body">
    <w:name w:val="Body"/>
    <w:basedOn w:val="Normal"/>
    <w:uiPriority w:val="99"/>
    <w:rsid w:val="0061280B"/>
    <w:rPr>
      <w:rFonts w:ascii="Arial" w:hAnsi="Arial" w:cs="Arial"/>
      <w:sz w:val="20"/>
      <w:szCs w:val="20"/>
    </w:rPr>
  </w:style>
  <w:style w:type="paragraph" w:customStyle="1" w:styleId="ColorBullet">
    <w:name w:val="Color Bullet"/>
    <w:basedOn w:val="Normal"/>
    <w:uiPriority w:val="99"/>
    <w:semiHidden/>
    <w:rsid w:val="0061280B"/>
    <w:pPr>
      <w:spacing w:before="60"/>
      <w:ind w:left="720" w:hanging="36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rsid w:val="003B6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62D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E18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1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1851"/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rsid w:val="002E1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1851"/>
    <w:rPr>
      <w:rFonts w:ascii="Calibri" w:hAnsi="Calibri" w:cs="Calibri"/>
      <w:b/>
      <w:bCs/>
    </w:rPr>
  </w:style>
  <w:style w:type="paragraph" w:styleId="Revision">
    <w:name w:val="Revision"/>
    <w:hidden/>
    <w:uiPriority w:val="99"/>
    <w:semiHidden/>
    <w:rsid w:val="00515D40"/>
    <w:rPr>
      <w:rFonts w:ascii="Calibri" w:hAnsi="Calibri" w:cs="Calibri"/>
      <w:sz w:val="22"/>
      <w:szCs w:val="22"/>
    </w:rPr>
  </w:style>
  <w:style w:type="character" w:customStyle="1" w:styleId="comment-text1">
    <w:name w:val="comment-text1"/>
    <w:basedOn w:val="DefaultParagraphFont"/>
    <w:rsid w:val="00F359C8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80B"/>
    <w:rPr>
      <w:rFonts w:ascii="Calibri" w:hAnsi="Calibri" w:cs="Calibri"/>
      <w:sz w:val="22"/>
      <w:szCs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61280B"/>
    <w:pPr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280B"/>
    <w:rPr>
      <w:rFonts w:ascii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61280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1280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280B"/>
    <w:pPr>
      <w:spacing w:after="200" w:line="276" w:lineRule="auto"/>
      <w:ind w:left="720"/>
    </w:pPr>
  </w:style>
  <w:style w:type="paragraph" w:customStyle="1" w:styleId="Body">
    <w:name w:val="Body"/>
    <w:basedOn w:val="Normal"/>
    <w:uiPriority w:val="99"/>
    <w:rsid w:val="0061280B"/>
    <w:rPr>
      <w:rFonts w:ascii="Arial" w:hAnsi="Arial" w:cs="Arial"/>
      <w:sz w:val="20"/>
      <w:szCs w:val="20"/>
    </w:rPr>
  </w:style>
  <w:style w:type="paragraph" w:customStyle="1" w:styleId="ColorBullet">
    <w:name w:val="Color Bullet"/>
    <w:basedOn w:val="Normal"/>
    <w:uiPriority w:val="99"/>
    <w:semiHidden/>
    <w:rsid w:val="0061280B"/>
    <w:pPr>
      <w:spacing w:before="60"/>
      <w:ind w:left="720" w:hanging="36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rsid w:val="003B6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62D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E18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1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1851"/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rsid w:val="002E1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1851"/>
    <w:rPr>
      <w:rFonts w:ascii="Calibri" w:hAnsi="Calibri" w:cs="Calibri"/>
      <w:b/>
      <w:bCs/>
    </w:rPr>
  </w:style>
  <w:style w:type="paragraph" w:styleId="Revision">
    <w:name w:val="Revision"/>
    <w:hidden/>
    <w:uiPriority w:val="99"/>
    <w:semiHidden/>
    <w:rsid w:val="00515D40"/>
    <w:rPr>
      <w:rFonts w:ascii="Calibri" w:hAnsi="Calibri" w:cs="Calibri"/>
      <w:sz w:val="22"/>
      <w:szCs w:val="22"/>
    </w:rPr>
  </w:style>
  <w:style w:type="character" w:customStyle="1" w:styleId="comment-text1">
    <w:name w:val="comment-text1"/>
    <w:basedOn w:val="DefaultParagraphFont"/>
    <w:rsid w:val="00F359C8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5D764.A9F07FF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PCSquestions@optum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PCSquestions@optu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PCSquestions@optu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5A802-869A-442E-86A4-464BBBB6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698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Oharra, Mary</dc:creator>
  <cp:lastModifiedBy>Oharra, Mary</cp:lastModifiedBy>
  <cp:revision>5</cp:revision>
  <dcterms:created xsi:type="dcterms:W3CDTF">2020-01-29T14:50:00Z</dcterms:created>
  <dcterms:modified xsi:type="dcterms:W3CDTF">2020-01-30T20:01:00Z</dcterms:modified>
</cp:coreProperties>
</file>